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B8" w:rsidRDefault="00474DE3" w:rsidP="003445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45AA">
        <w:rPr>
          <w:rFonts w:ascii="Times New Roman" w:hAnsi="Times New Roman" w:cs="Times New Roman"/>
          <w:b/>
          <w:sz w:val="28"/>
          <w:szCs w:val="28"/>
        </w:rPr>
        <w:t>Логопедическое сопровождение детей с РАС.</w:t>
      </w:r>
    </w:p>
    <w:p w:rsidR="003445AA" w:rsidRPr="003445AA" w:rsidRDefault="003445AA" w:rsidP="003445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У детей с РАС (расстройство аутистического спектра) наблюдается множество речевых расстройств, поэтому именно логопед должен провести первичный мониторинг развития речи аутичного ребенка и направить семью на дальнейшую коррекционную работу и дать необходимые рекомендации.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В речи детей с РАС в целом, можно отметить как общие, так и специфические особенности.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К специфическим особенностям можно отнести: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отсутствие реакции на речь окружающих;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шепотная или громкая речь;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необычная интонация;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нарушение мимической экспрессии;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- повторения;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некоммуникативность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неологизмы;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перестановка местоимений;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своеобразие вербальной одаренности;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- нарушение прагматики речи (не умеет выстраивать и вести диалог);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или полный распад речи.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Таким образом, речевые нарушения, усугубляют и затрудняют в контакте с окружающими, поэтому работа по развитию речи должна начинаться как можно в более раннем возрасте.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45AA">
        <w:rPr>
          <w:rFonts w:ascii="Times New Roman" w:hAnsi="Times New Roman" w:cs="Times New Roman"/>
          <w:b/>
          <w:i/>
          <w:sz w:val="28"/>
          <w:szCs w:val="28"/>
        </w:rPr>
        <w:t>Основные задачи логопедической работы при аутизме:</w:t>
      </w:r>
    </w:p>
    <w:p w:rsidR="005158B8" w:rsidRPr="003445AA" w:rsidRDefault="005158B8" w:rsidP="003445AA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установление эмоционального контакта с ребенком;</w:t>
      </w:r>
    </w:p>
    <w:p w:rsidR="005158B8" w:rsidRPr="003445AA" w:rsidRDefault="005158B8" w:rsidP="003445AA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активизация речевой деятельности;</w:t>
      </w:r>
    </w:p>
    <w:p w:rsidR="005158B8" w:rsidRPr="003445AA" w:rsidRDefault="005158B8" w:rsidP="003445AA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формирование и развитие спонтанной речи в быту и в игре; развитие речи в обучающей ситуации;</w:t>
      </w:r>
    </w:p>
    <w:p w:rsidR="005158B8" w:rsidRPr="003445AA" w:rsidRDefault="005158B8" w:rsidP="003445AA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дифференциация речевых нарушений, обусловленных аутизмом и сопутствующими синдромами.</w:t>
      </w:r>
    </w:p>
    <w:p w:rsidR="00D34873" w:rsidRDefault="00D34873" w:rsidP="003445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45AA">
        <w:rPr>
          <w:rFonts w:ascii="Times New Roman" w:hAnsi="Times New Roman" w:cs="Times New Roman"/>
          <w:b/>
          <w:i/>
          <w:sz w:val="28"/>
          <w:szCs w:val="28"/>
        </w:rPr>
        <w:t>Этапы коррекционно-развивающей работы: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1 этап – диагностический, основная цель которого определить возможности и потребности каждого ребёнка.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2 этап – составление плана работы и индивидуальной программы коррекционного воспитания и обучения и дальнейшая их корректировка в течение учебного года.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3 этап – коррекционные занятия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4 этап – подведение итогов воспитания и обучения в конце учебного года.</w:t>
      </w:r>
    </w:p>
    <w:p w:rsidR="00C31C08" w:rsidRDefault="00C31C08" w:rsidP="00C31C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158B8" w:rsidRPr="003445AA" w:rsidRDefault="005158B8" w:rsidP="00C31C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45AA">
        <w:rPr>
          <w:rFonts w:ascii="Times New Roman" w:hAnsi="Times New Roman" w:cs="Times New Roman"/>
          <w:b/>
          <w:i/>
          <w:sz w:val="28"/>
          <w:szCs w:val="28"/>
        </w:rPr>
        <w:t>Направления логопе</w:t>
      </w:r>
      <w:r w:rsidR="00442B2C" w:rsidRPr="003445AA">
        <w:rPr>
          <w:rFonts w:ascii="Times New Roman" w:hAnsi="Times New Roman" w:cs="Times New Roman"/>
          <w:b/>
          <w:i/>
          <w:sz w:val="28"/>
          <w:szCs w:val="28"/>
        </w:rPr>
        <w:t>дической коррекции при аутизме.</w:t>
      </w:r>
    </w:p>
    <w:p w:rsidR="00442B2C" w:rsidRPr="00C31C08" w:rsidRDefault="005158B8" w:rsidP="00C31C08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C08">
        <w:rPr>
          <w:rFonts w:ascii="Times New Roman" w:hAnsi="Times New Roman" w:cs="Times New Roman"/>
          <w:i/>
          <w:sz w:val="28"/>
          <w:szCs w:val="28"/>
        </w:rPr>
        <w:t>Развитие понимания речи (эмоционально-смысловой комментарий).</w:t>
      </w:r>
      <w:r w:rsidRPr="00C31C08">
        <w:rPr>
          <w:rFonts w:ascii="Times New Roman" w:hAnsi="Times New Roman" w:cs="Times New Roman"/>
          <w:sz w:val="28"/>
          <w:szCs w:val="28"/>
        </w:rPr>
        <w:t xml:space="preserve">  Эмоционально-смысловой комментарий - необходимый элемент занятий. Это единственный адекватный путь, чтобы добиться включенности </w:t>
      </w:r>
      <w:r w:rsidRPr="00C31C08">
        <w:rPr>
          <w:rFonts w:ascii="Times New Roman" w:hAnsi="Times New Roman" w:cs="Times New Roman"/>
          <w:sz w:val="28"/>
          <w:szCs w:val="28"/>
        </w:rPr>
        <w:lastRenderedPageBreak/>
        <w:t xml:space="preserve">ребенка в реальность, осознания происходящего вокруг, понимания им речи. Необходимо «поймать» внимание ребенка, сосредоточить его на чем-то для того, чтобы добиться осмысления происходящего, осознания сказанного. </w:t>
      </w:r>
      <w:proofErr w:type="gramStart"/>
      <w:r w:rsidRPr="00C31C08">
        <w:rPr>
          <w:rFonts w:ascii="Times New Roman" w:hAnsi="Times New Roman" w:cs="Times New Roman"/>
          <w:sz w:val="28"/>
          <w:szCs w:val="28"/>
        </w:rPr>
        <w:t xml:space="preserve">Важно привязать комментарий к опыту самого ребенка, вносить смысл даже, на первый взгляд, на его бессмысленную активность; фиксироваться на приятных для ребенка ощущениях и сглаживать неприятные («Давай </w:t>
      </w:r>
      <w:proofErr w:type="spellStart"/>
      <w:r w:rsidRPr="00C31C08">
        <w:rPr>
          <w:rFonts w:ascii="Times New Roman" w:hAnsi="Times New Roman" w:cs="Times New Roman"/>
          <w:sz w:val="28"/>
          <w:szCs w:val="28"/>
        </w:rPr>
        <w:t>пожалеемся</w:t>
      </w:r>
      <w:proofErr w:type="spellEnd"/>
      <w:r w:rsidRPr="00C31C08">
        <w:rPr>
          <w:rFonts w:ascii="Times New Roman" w:hAnsi="Times New Roman" w:cs="Times New Roman"/>
          <w:sz w:val="28"/>
          <w:szCs w:val="28"/>
        </w:rPr>
        <w:t>», «Молодец, нарисовал линию», «Нельзя обижать ребят»); прояснять причинно-следственные связи («Мы сейчас оденемся и пойдём на прогулку», «После еды пойдём мыть рот»), давать представление об устройстве предметов и сути явлений.</w:t>
      </w:r>
      <w:proofErr w:type="gramEnd"/>
      <w:r w:rsidRPr="00C31C08">
        <w:rPr>
          <w:rFonts w:ascii="Times New Roman" w:hAnsi="Times New Roman" w:cs="Times New Roman"/>
          <w:sz w:val="28"/>
          <w:szCs w:val="28"/>
        </w:rPr>
        <w:t xml:space="preserve"> На этом этапе очень важна роль взаимодействия специалистов и родителей. Они могут прокомментировать чувства ребёнк</w:t>
      </w:r>
      <w:r w:rsidR="00442B2C" w:rsidRPr="00C31C08">
        <w:rPr>
          <w:rFonts w:ascii="Times New Roman" w:hAnsi="Times New Roman" w:cs="Times New Roman"/>
          <w:sz w:val="28"/>
          <w:szCs w:val="28"/>
        </w:rPr>
        <w:t>а, его поведенческие реакции. Можно использовать</w:t>
      </w:r>
      <w:r w:rsidRPr="00C31C08">
        <w:rPr>
          <w:rFonts w:ascii="Times New Roman" w:hAnsi="Times New Roman" w:cs="Times New Roman"/>
          <w:sz w:val="28"/>
          <w:szCs w:val="28"/>
        </w:rPr>
        <w:t xml:space="preserve"> различные сенсорные игры, проведение которых даёт также новые прекрасные возможности для установления контакта (всё зависит </w:t>
      </w:r>
      <w:r w:rsidR="00C31C08"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5DDBE8" wp14:editId="65CA0D93">
            <wp:simplePos x="0" y="0"/>
            <wp:positionH relativeFrom="column">
              <wp:posOffset>234315</wp:posOffset>
            </wp:positionH>
            <wp:positionV relativeFrom="paragraph">
              <wp:posOffset>3128010</wp:posOffset>
            </wp:positionV>
            <wp:extent cx="1524000" cy="2173605"/>
            <wp:effectExtent l="0" t="0" r="0" b="0"/>
            <wp:wrapThrough wrapText="bothSides">
              <wp:wrapPolygon edited="0">
                <wp:start x="0" y="0"/>
                <wp:lineTo x="0" y="21392"/>
                <wp:lineTo x="21330" y="21392"/>
                <wp:lineTo x="21330" y="0"/>
                <wp:lineTo x="0" y="0"/>
              </wp:wrapPolygon>
            </wp:wrapThrough>
            <wp:docPr id="1" name="Рисунок 1" descr="раннее развитие детей | Сенсорные игры с во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ннее развитие детей | Сенсорные игры с вод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08">
        <w:rPr>
          <w:rFonts w:ascii="Times New Roman" w:hAnsi="Times New Roman" w:cs="Times New Roman"/>
          <w:sz w:val="28"/>
          <w:szCs w:val="28"/>
        </w:rPr>
        <w:t xml:space="preserve">от предпочтений – вода, песок, вкладыши </w:t>
      </w:r>
      <w:proofErr w:type="spellStart"/>
      <w:r w:rsidRPr="00C31C08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C31C08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587962" w:rsidRPr="003445AA" w:rsidRDefault="00C31C08" w:rsidP="003445AA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EB2B788" wp14:editId="0937C622">
            <wp:simplePos x="0" y="0"/>
            <wp:positionH relativeFrom="column">
              <wp:posOffset>3968115</wp:posOffset>
            </wp:positionH>
            <wp:positionV relativeFrom="paragraph">
              <wp:posOffset>22860</wp:posOffset>
            </wp:positionV>
            <wp:extent cx="1684020" cy="2148840"/>
            <wp:effectExtent l="0" t="0" r="0" b="3810"/>
            <wp:wrapThrough wrapText="bothSides">
              <wp:wrapPolygon edited="0">
                <wp:start x="0" y="0"/>
                <wp:lineTo x="0" y="21447"/>
                <wp:lineTo x="21258" y="21447"/>
                <wp:lineTo x="21258" y="0"/>
                <wp:lineTo x="0" y="0"/>
              </wp:wrapPolygon>
            </wp:wrapThrough>
            <wp:docPr id="3" name="Рисунок 3" descr="Рамки-вкладыши Монтессори &quot;Трафарет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мки-вкладыши Монтессори &quot;Трафареты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62" w:rsidRPr="003445AA">
        <w:rPr>
          <w:rFonts w:ascii="Times New Roman" w:hAnsi="Times New Roman" w:cs="Times New Roman"/>
          <w:sz w:val="28"/>
          <w:szCs w:val="28"/>
        </w:rPr>
        <w:t xml:space="preserve"> </w:t>
      </w:r>
      <w:r w:rsidR="00587962"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4141C5" wp14:editId="37851907">
            <wp:simplePos x="0" y="0"/>
            <wp:positionH relativeFrom="column">
              <wp:posOffset>1853565</wp:posOffset>
            </wp:positionH>
            <wp:positionV relativeFrom="paragraph">
              <wp:posOffset>3810</wp:posOffset>
            </wp:positionV>
            <wp:extent cx="2019300" cy="2195830"/>
            <wp:effectExtent l="0" t="0" r="0" b="0"/>
            <wp:wrapThrough wrapText="bothSides">
              <wp:wrapPolygon edited="0">
                <wp:start x="0" y="0"/>
                <wp:lineTo x="0" y="21363"/>
                <wp:lineTo x="21396" y="21363"/>
                <wp:lineTo x="21396" y="0"/>
                <wp:lineTo x="0" y="0"/>
              </wp:wrapPolygon>
            </wp:wrapThrough>
            <wp:docPr id="2" name="Рисунок 2" descr="Песочная терапия с детьми в условиях инклюзив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сочная терапия с детьми в условиях инклюзивного образова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8" r="19834"/>
                    <a:stretch/>
                  </pic:blipFill>
                  <pic:spPr bwMode="auto">
                    <a:xfrm>
                      <a:off x="0" y="0"/>
                      <a:ext cx="201930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62" w:rsidRPr="0034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962" w:rsidRPr="003445AA" w:rsidRDefault="00587962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Рис 1. Примеры сенсорных игр: с водой, с песком, вкладыши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>.</w:t>
      </w:r>
    </w:p>
    <w:p w:rsidR="00C31C08" w:rsidRDefault="00C31C0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Для формирования у аутичного ребенка способности понимать речь используем в работе сюжетное рисование. Рассказывая и рисуя, привлекаем внимание за счёт любимых сюжетов. А когда ребенок уже сможет дольше удерживать внимание на рисунке, будет лучше понимать рассказ, можно постепенно создавать из рисунков целые серии.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>Так получаются «истории в картинках», где главным героем является сам ребенок (Дима гуляет.</w:t>
      </w:r>
      <w:proofErr w:type="gramEnd"/>
      <w:r w:rsidRPr="003445AA">
        <w:rPr>
          <w:rFonts w:ascii="Times New Roman" w:hAnsi="Times New Roman" w:cs="Times New Roman"/>
          <w:sz w:val="28"/>
          <w:szCs w:val="28"/>
        </w:rPr>
        <w:t xml:space="preserve"> Дима кушает.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>Дима играет машиной и т.д.)</w:t>
      </w:r>
      <w:proofErr w:type="gramEnd"/>
      <w:r w:rsidRPr="003445AA">
        <w:rPr>
          <w:rFonts w:ascii="Times New Roman" w:hAnsi="Times New Roman" w:cs="Times New Roman"/>
          <w:sz w:val="28"/>
          <w:szCs w:val="28"/>
        </w:rPr>
        <w:t xml:space="preserve"> Такие рисунки складываются в альбом или развешиваются дома на стене.</w:t>
      </w:r>
      <w:r w:rsidR="00C31C08" w:rsidRPr="00C31C0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7962" w:rsidRPr="003445AA" w:rsidRDefault="00587962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1773A64" wp14:editId="4607EB17">
            <wp:simplePos x="0" y="0"/>
            <wp:positionH relativeFrom="column">
              <wp:posOffset>2804795</wp:posOffset>
            </wp:positionH>
            <wp:positionV relativeFrom="paragraph">
              <wp:posOffset>-459740</wp:posOffset>
            </wp:positionV>
            <wp:extent cx="2047875" cy="2635250"/>
            <wp:effectExtent l="0" t="0" r="9525" b="0"/>
            <wp:wrapThrough wrapText="bothSides">
              <wp:wrapPolygon edited="0">
                <wp:start x="0" y="0"/>
                <wp:lineTo x="0" y="21392"/>
                <wp:lineTo x="21500" y="21392"/>
                <wp:lineTo x="21500" y="0"/>
                <wp:lineTo x="0" y="0"/>
              </wp:wrapPolygon>
            </wp:wrapThrough>
            <wp:docPr id="5" name="Рисунок 5" descr="Я играю и учусь. Картинки для развития малыша (часть 7) | сайт Сарапульских 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 играю и учусь. Картинки для развития малыша (часть 7) | сайт Сарапульских  ма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8D2A640" wp14:editId="0440B760">
            <wp:simplePos x="0" y="0"/>
            <wp:positionH relativeFrom="column">
              <wp:posOffset>832485</wp:posOffset>
            </wp:positionH>
            <wp:positionV relativeFrom="paragraph">
              <wp:posOffset>-471170</wp:posOffset>
            </wp:positionV>
            <wp:extent cx="19050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384" y="21443"/>
                <wp:lineTo x="21384" y="0"/>
                <wp:lineTo x="0" y="0"/>
              </wp:wrapPolygon>
            </wp:wrapThrough>
            <wp:docPr id="4" name="Рисунок 4" descr="Детские рисунки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ие рисунки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1BBEA79" wp14:editId="711ED5EE">
            <wp:simplePos x="0" y="0"/>
            <wp:positionH relativeFrom="column">
              <wp:posOffset>902970</wp:posOffset>
            </wp:positionH>
            <wp:positionV relativeFrom="paragraph">
              <wp:posOffset>111125</wp:posOffset>
            </wp:positionV>
            <wp:extent cx="3938905" cy="2515870"/>
            <wp:effectExtent l="0" t="0" r="4445" b="0"/>
            <wp:wrapThrough wrapText="bothSides">
              <wp:wrapPolygon edited="0">
                <wp:start x="0" y="0"/>
                <wp:lineTo x="0" y="21426"/>
                <wp:lineTo x="21520" y="21426"/>
                <wp:lineTo x="21520" y="0"/>
                <wp:lineTo x="0" y="0"/>
              </wp:wrapPolygon>
            </wp:wrapThrough>
            <wp:docPr id="6" name="Рисунок 6" descr="Фотоотчет о занятии по рисованию «Дети играют в мяч». Воспитателям детских 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отчет о занятии по рисованию «Дети играют в мяч». Воспитателям детских 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23"/>
                    <a:stretch/>
                  </pic:blipFill>
                  <pic:spPr bwMode="auto">
                    <a:xfrm>
                      <a:off x="0" y="0"/>
                      <a:ext cx="393890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C08" w:rsidRDefault="00C31C08" w:rsidP="003445A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389" w:rsidRDefault="00F67389" w:rsidP="00C31C0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Рис.2. Примеры сюжетов для «истории в картинках».</w:t>
      </w:r>
    </w:p>
    <w:p w:rsidR="00C31C08" w:rsidRPr="003445AA" w:rsidRDefault="00C31C08" w:rsidP="00C31C0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B2C" w:rsidRPr="003445AA" w:rsidRDefault="005158B8" w:rsidP="00C31C0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Развитие возможности активно пользоваться речью (растормаживание внешней речи).</w:t>
      </w:r>
      <w:r w:rsidRPr="0034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При аутизме в большей степени, чем при любых других нарушениях, заметна разница между тем, что понимает ребенок, и тем, что он может произнести. Но причина здесь совершенно особая: это отсутствие или снижение речевой инициативы, которую мы должны восстановить и развить. Наиболее сложной, трудоемкой и наименее предсказуемой по темпу и результатам является работа с «неговорящими» детьми.</w:t>
      </w: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Растормаживание речи у таких детей идет одновременно в трех направлениях:</w:t>
      </w:r>
    </w:p>
    <w:p w:rsidR="00442B2C" w:rsidRPr="003445AA" w:rsidRDefault="00442B2C" w:rsidP="00C31C08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п</w:t>
      </w:r>
      <w:r w:rsidR="005158B8" w:rsidRPr="003445AA">
        <w:rPr>
          <w:rFonts w:ascii="Times New Roman" w:hAnsi="Times New Roman" w:cs="Times New Roman"/>
          <w:i/>
          <w:sz w:val="28"/>
          <w:szCs w:val="28"/>
        </w:rPr>
        <w:t>ровоцирование непроизвольного подражания действию, мимике, интонации взрослого.</w:t>
      </w: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Такое непроизвольное подражание может стать предпосылкой подражания произвольного – звукового, а затем и словесного.</w:t>
      </w: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Важно добиться того, чтобы неговорящий ребенок как можно чаще смотрел на лицо педагога, на рот в момент произнесения звуков и слов.</w:t>
      </w:r>
    </w:p>
    <w:p w:rsidR="00442B2C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У большинства аутичных детей есть трудности артикуляции (от стёртых форм дизартрии до апраксии). Поэтому, чтобы облегчить ребенку формирование правильной артикуляции, важно сосредоточить его взгляд на </w:t>
      </w:r>
      <w:r w:rsidRPr="003445AA">
        <w:rPr>
          <w:rFonts w:ascii="Times New Roman" w:hAnsi="Times New Roman" w:cs="Times New Roman"/>
          <w:sz w:val="28"/>
          <w:szCs w:val="28"/>
        </w:rPr>
        <w:lastRenderedPageBreak/>
        <w:t>лице взрослого ещё и в то время, когда мы поем ему песни, читаем стихи, что-то рассказываем.</w:t>
      </w:r>
    </w:p>
    <w:p w:rsidR="00442B2C" w:rsidRPr="003445AA" w:rsidRDefault="00442B2C" w:rsidP="00C31C08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п</w:t>
      </w:r>
      <w:r w:rsidR="005158B8" w:rsidRPr="003445AA">
        <w:rPr>
          <w:rFonts w:ascii="Times New Roman" w:hAnsi="Times New Roman" w:cs="Times New Roman"/>
          <w:i/>
          <w:sz w:val="28"/>
          <w:szCs w:val="28"/>
        </w:rPr>
        <w:t>ровоцирование ребенка на непроизвольные словесные реакции.</w:t>
      </w:r>
    </w:p>
    <w:p w:rsidR="005158B8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Этого мы добиваемся с помощью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отхлопывания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, отстукивания и другой передачи ритмов. Мы используем, например, те моменты, когда он прыгает, приговаривая в такт прыжкам: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>«Как зайчишка, как зайчишка, как зайчишка, поскакал», «Прыг-скок, прыг-скок, провалился потолок».</w:t>
      </w:r>
      <w:proofErr w:type="gramEnd"/>
      <w:r w:rsidRPr="003445AA">
        <w:rPr>
          <w:rFonts w:ascii="Times New Roman" w:hAnsi="Times New Roman" w:cs="Times New Roman"/>
          <w:sz w:val="28"/>
          <w:szCs w:val="28"/>
        </w:rPr>
        <w:t xml:space="preserve"> С помощью стихотворных ритмов, с помощью рифмы и мелодии также стимулируем вокализации, словесные реакции аутичного ребенка. Когда мы читаем хорошо знакомые ему стихи или поем песни, то оставляем паузу в конце строфы, провоцируя его на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нужного слова.</w:t>
      </w:r>
    </w:p>
    <w:p w:rsidR="00F67389" w:rsidRPr="003445AA" w:rsidRDefault="00F67389" w:rsidP="00C31C0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B41F4" wp14:editId="630E0FF2">
            <wp:extent cx="3738203" cy="2515063"/>
            <wp:effectExtent l="0" t="0" r="0" b="0"/>
            <wp:docPr id="7" name="Рисунок 7" descr="Лучшее развивающее занятие — чтение книг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учшее развивающее занятие — чтение книг детям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07" cy="25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2C" w:rsidRPr="003445AA" w:rsidRDefault="00442B2C" w:rsidP="00C31C08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3445AA">
        <w:rPr>
          <w:rFonts w:ascii="Times New Roman" w:hAnsi="Times New Roman" w:cs="Times New Roman"/>
          <w:i/>
          <w:sz w:val="28"/>
          <w:szCs w:val="28"/>
        </w:rPr>
        <w:t>п</w:t>
      </w:r>
      <w:r w:rsidR="005158B8" w:rsidRPr="003445AA">
        <w:rPr>
          <w:rFonts w:ascii="Times New Roman" w:hAnsi="Times New Roman" w:cs="Times New Roman"/>
          <w:i/>
          <w:sz w:val="28"/>
          <w:szCs w:val="28"/>
        </w:rPr>
        <w:t>овторение за ребенком и обыгрывание его звуковых реакций (</w:t>
      </w:r>
      <w:proofErr w:type="spellStart"/>
      <w:r w:rsidR="005158B8" w:rsidRPr="003445AA">
        <w:rPr>
          <w:rFonts w:ascii="Times New Roman" w:hAnsi="Times New Roman" w:cs="Times New Roman"/>
          <w:i/>
          <w:sz w:val="28"/>
          <w:szCs w:val="28"/>
        </w:rPr>
        <w:t>аутостимуляция</w:t>
      </w:r>
      <w:proofErr w:type="spellEnd"/>
      <w:r w:rsidR="005158B8" w:rsidRPr="003445AA">
        <w:rPr>
          <w:rFonts w:ascii="Times New Roman" w:hAnsi="Times New Roman" w:cs="Times New Roman"/>
          <w:i/>
          <w:sz w:val="28"/>
          <w:szCs w:val="28"/>
        </w:rPr>
        <w:t>)</w:t>
      </w:r>
      <w:r w:rsidRPr="003445AA">
        <w:rPr>
          <w:rFonts w:ascii="Times New Roman" w:hAnsi="Times New Roman" w:cs="Times New Roman"/>
          <w:i/>
          <w:sz w:val="28"/>
          <w:szCs w:val="28"/>
        </w:rPr>
        <w:t>.</w:t>
      </w:r>
    </w:p>
    <w:p w:rsidR="005158B8" w:rsidRPr="003445AA" w:rsidRDefault="005158B8" w:rsidP="00C31C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445AA">
        <w:rPr>
          <w:rFonts w:ascii="Times New Roman" w:hAnsi="Times New Roman" w:cs="Times New Roman"/>
          <w:sz w:val="28"/>
          <w:szCs w:val="28"/>
        </w:rPr>
        <w:t>В игре, и на занятиях, и, по возможности, в течение всего дня, родители и специалисты, работающие с ребенком, подхватывают его вокализации, повторяют их с его интонацией, а затем обыгрывают и превращают их в реальные слова, связывая с ситуацией (ПА – падает, ША – шарики, Е – едет).</w:t>
      </w:r>
      <w:proofErr w:type="gramEnd"/>
      <w:r w:rsidR="00442B2C" w:rsidRPr="003445AA">
        <w:rPr>
          <w:rFonts w:ascii="Times New Roman" w:hAnsi="Times New Roman" w:cs="Times New Roman"/>
          <w:sz w:val="28"/>
          <w:szCs w:val="28"/>
        </w:rPr>
        <w:t xml:space="preserve"> </w:t>
      </w:r>
      <w:r w:rsidRPr="003445AA">
        <w:rPr>
          <w:rFonts w:ascii="Times New Roman" w:hAnsi="Times New Roman" w:cs="Times New Roman"/>
          <w:sz w:val="28"/>
          <w:szCs w:val="28"/>
        </w:rPr>
        <w:t>Можно просто по созвучию подобрать подходящее к данной ситуации слово.</w:t>
      </w:r>
    </w:p>
    <w:p w:rsidR="0057354C" w:rsidRPr="003445AA" w:rsidRDefault="005158B8" w:rsidP="00C31C0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45AA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подхода к обучению навыкам чтения, письма. 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Существует ряд приемов, помогающих в формировании у аутичного ребенка основных учебных навыков. Так, при обучении чтению можно вначале ориентироваться на хорошую непроизвольную память ребенка, на то, что он, играя с магнитной азбукой или с кубиками с буквами, может быстро механически запомнить весь алфавит. Символы звуков легче соотнести с предметом или картинкой. На занятиях используются цветные предметные карточки с подписанным внизу словом. Как известно, некоторые дети-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алалики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запоминают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3445AA">
        <w:rPr>
          <w:rFonts w:ascii="Times New Roman" w:hAnsi="Times New Roman" w:cs="Times New Roman"/>
          <w:sz w:val="28"/>
          <w:szCs w:val="28"/>
        </w:rPr>
        <w:t xml:space="preserve"> используя методику «глобального чтения», т. е. чтения целыми словами. Эта методика представляется более адекватной при обучении аутичных детей, чем побуквенное или 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чтение.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 xml:space="preserve">Кроме того, научить аутичного ребенка читать целыми словами легче и быстрее, чем по буквам и по слогам, так как он, с одной стороны, с большим трудом воспринимает фрагментированную информацию </w:t>
      </w:r>
      <w:r w:rsidRPr="003445AA">
        <w:rPr>
          <w:rFonts w:ascii="Times New Roman" w:hAnsi="Times New Roman" w:cs="Times New Roman"/>
          <w:sz w:val="28"/>
          <w:szCs w:val="28"/>
        </w:rPr>
        <w:lastRenderedPageBreak/>
        <w:t xml:space="preserve">(поступающую в виде букв, слогов и т. д.), а, с другой стороны, способен моментально запоминать, «фотографировать» то, что находится в его </w:t>
      </w:r>
      <w:r w:rsidR="00FD488B"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A657D73" wp14:editId="728A4A04">
            <wp:simplePos x="0" y="0"/>
            <wp:positionH relativeFrom="column">
              <wp:posOffset>2056765</wp:posOffset>
            </wp:positionH>
            <wp:positionV relativeFrom="paragraph">
              <wp:posOffset>826770</wp:posOffset>
            </wp:positionV>
            <wp:extent cx="1935480" cy="2473960"/>
            <wp:effectExtent l="0" t="0" r="7620" b="2540"/>
            <wp:wrapThrough wrapText="bothSides">
              <wp:wrapPolygon edited="0">
                <wp:start x="0" y="0"/>
                <wp:lineTo x="0" y="21456"/>
                <wp:lineTo x="21472" y="21456"/>
                <wp:lineTo x="21472" y="0"/>
                <wp:lineTo x="0" y="0"/>
              </wp:wrapPolygon>
            </wp:wrapThrough>
            <wp:docPr id="8" name="Рисунок 8" descr="Пятибратова Н.В. Изучаю и запоминаю буквы. Игровой комплект с  картинками-ассоциациями. 1+ [PDF] - Все для студ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ятибратова Н.В. Изучаю и запоминаю буквы. Игровой комплект с  картинками-ассоциациями. 1+ [PDF] - Все для студен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42" b="14600"/>
                    <a:stretch/>
                  </pic:blipFill>
                  <pic:spPr bwMode="auto">
                    <a:xfrm>
                      <a:off x="0" y="0"/>
                      <a:ext cx="193548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AA">
        <w:rPr>
          <w:rFonts w:ascii="Times New Roman" w:hAnsi="Times New Roman" w:cs="Times New Roman"/>
          <w:sz w:val="28"/>
          <w:szCs w:val="28"/>
        </w:rPr>
        <w:t>зрительном поле.</w:t>
      </w:r>
      <w:proofErr w:type="gramEnd"/>
    </w:p>
    <w:p w:rsidR="005158B8" w:rsidRPr="003445AA" w:rsidRDefault="00F67389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488B" w:rsidRDefault="00FD488B" w:rsidP="00344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72E23BA" wp14:editId="701D75E0">
            <wp:simplePos x="0" y="0"/>
            <wp:positionH relativeFrom="column">
              <wp:posOffset>241300</wp:posOffset>
            </wp:positionH>
            <wp:positionV relativeFrom="paragraph">
              <wp:posOffset>40640</wp:posOffset>
            </wp:positionV>
            <wp:extent cx="1722120" cy="2466340"/>
            <wp:effectExtent l="0" t="0" r="0" b="0"/>
            <wp:wrapThrough wrapText="bothSides">
              <wp:wrapPolygon edited="0">
                <wp:start x="0" y="0"/>
                <wp:lineTo x="0" y="21355"/>
                <wp:lineTo x="21265" y="21355"/>
                <wp:lineTo x="21265" y="0"/>
                <wp:lineTo x="0" y="0"/>
              </wp:wrapPolygon>
            </wp:wrapThrough>
            <wp:docPr id="10" name="Рисунок 10" descr="Русский алфавит карточки. Учим буквы. Азбука. Скачать бесплатно - Russian  Alphabet | Русский алфавит, Алфавит, Дошкольные учебные меро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усский алфавит карточки. Учим буквы. Азбука. Скачать бесплатно - Russian  Alphabet | Русский алфавит, Алфавит, Дошкольные учебные мероприят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91D84DE" wp14:editId="4C7EF21E">
            <wp:simplePos x="0" y="0"/>
            <wp:positionH relativeFrom="column">
              <wp:posOffset>4124325</wp:posOffset>
            </wp:positionH>
            <wp:positionV relativeFrom="paragraph">
              <wp:posOffset>15875</wp:posOffset>
            </wp:positionV>
            <wp:extent cx="1915160" cy="2484120"/>
            <wp:effectExtent l="0" t="0" r="8890" b="0"/>
            <wp:wrapThrough wrapText="bothSides">
              <wp:wrapPolygon edited="0">
                <wp:start x="0" y="0"/>
                <wp:lineTo x="0" y="21368"/>
                <wp:lineTo x="21485" y="21368"/>
                <wp:lineTo x="21485" y="0"/>
                <wp:lineTo x="0" y="0"/>
              </wp:wrapPolygon>
            </wp:wrapThrough>
            <wp:docPr id="9" name="Рисунок 9" descr="Новый букварь. По методике Н. В. Пятибратовой (комплект из 3 книг + игровое  поле + 32 трафарета и маркер) &gt; Авторские пособия Наталии Пятибратовой 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овый букварь. По методике Н. В. Пятибратовой (комплект из 3 книг + игровое  поле + 32 трафарета и маркер) &gt; Авторские пособия Наталии Пятибратовой &g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88B" w:rsidRDefault="00FD488B" w:rsidP="00344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88B" w:rsidRDefault="00FD488B" w:rsidP="00344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389" w:rsidRPr="003445AA" w:rsidRDefault="00F67389" w:rsidP="00344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Рис.3. Примеры пособий и карточек.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b/>
          <w:i/>
          <w:sz w:val="28"/>
          <w:szCs w:val="28"/>
        </w:rPr>
        <w:t>Коррекционные логопедические занятия носят характер сопровождения.</w:t>
      </w:r>
      <w:r w:rsidRPr="003445AA">
        <w:rPr>
          <w:rFonts w:ascii="Times New Roman" w:hAnsi="Times New Roman" w:cs="Times New Roman"/>
          <w:sz w:val="28"/>
          <w:szCs w:val="28"/>
        </w:rPr>
        <w:t xml:space="preserve"> Ребёнок зачастую сам выбирает себе занятие, игрушку, пособие. Поэтому работа педагога в этом требует гибкост</w:t>
      </w:r>
      <w:r w:rsidR="00AB3495" w:rsidRPr="003445AA">
        <w:rPr>
          <w:rFonts w:ascii="Times New Roman" w:hAnsi="Times New Roman" w:cs="Times New Roman"/>
          <w:sz w:val="28"/>
          <w:szCs w:val="28"/>
        </w:rPr>
        <w:t>и, умения быстро перестроиться.</w:t>
      </w:r>
    </w:p>
    <w:p w:rsidR="005158B8" w:rsidRPr="003445AA" w:rsidRDefault="005158B8" w:rsidP="0034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Обучение аутичных детей требует от всех коррекционных педагогов не только профессиональных знаний и умений, но и больших затрат психической и физической энергии, большого терпения, интуиции и любви, постоянного педагогического поиска, гибкости в применении различных</w:t>
      </w:r>
      <w:r w:rsidR="00AB3495" w:rsidRPr="003445AA">
        <w:rPr>
          <w:rFonts w:ascii="Times New Roman" w:hAnsi="Times New Roman" w:cs="Times New Roman"/>
          <w:sz w:val="28"/>
          <w:szCs w:val="28"/>
        </w:rPr>
        <w:t xml:space="preserve"> методов обучения и воспитания.</w:t>
      </w:r>
    </w:p>
    <w:p w:rsidR="005158B8" w:rsidRPr="003445AA" w:rsidRDefault="005158B8" w:rsidP="00FD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 xml:space="preserve">Таким образом, на логопедических занятиях с </w:t>
      </w:r>
      <w:proofErr w:type="gramStart"/>
      <w:r w:rsidRPr="003445AA">
        <w:rPr>
          <w:rFonts w:ascii="Times New Roman" w:hAnsi="Times New Roman" w:cs="Times New Roman"/>
          <w:sz w:val="28"/>
          <w:szCs w:val="28"/>
        </w:rPr>
        <w:t>говорящими</w:t>
      </w:r>
      <w:proofErr w:type="gramEnd"/>
      <w:r w:rsidRPr="003445AA">
        <w:rPr>
          <w:rFonts w:ascii="Times New Roman" w:hAnsi="Times New Roman" w:cs="Times New Roman"/>
          <w:sz w:val="28"/>
          <w:szCs w:val="28"/>
        </w:rPr>
        <w:t xml:space="preserve"> и неговорящими детьми-</w:t>
      </w:r>
      <w:proofErr w:type="spellStart"/>
      <w:r w:rsidRPr="003445AA">
        <w:rPr>
          <w:rFonts w:ascii="Times New Roman" w:hAnsi="Times New Roman" w:cs="Times New Roman"/>
          <w:sz w:val="28"/>
          <w:szCs w:val="28"/>
        </w:rPr>
        <w:t>аутистами</w:t>
      </w:r>
      <w:proofErr w:type="spellEnd"/>
      <w:r w:rsidRPr="003445AA">
        <w:rPr>
          <w:rFonts w:ascii="Times New Roman" w:hAnsi="Times New Roman" w:cs="Times New Roman"/>
          <w:sz w:val="28"/>
          <w:szCs w:val="28"/>
        </w:rPr>
        <w:t xml:space="preserve"> решаются следующие </w:t>
      </w:r>
      <w:r w:rsidR="00AB3495" w:rsidRPr="003445AA">
        <w:rPr>
          <w:rFonts w:ascii="Times New Roman" w:hAnsi="Times New Roman" w:cs="Times New Roman"/>
          <w:sz w:val="28"/>
          <w:szCs w:val="28"/>
        </w:rPr>
        <w:t>задачи: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формирование целенаправленного поведения и понимание речи,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комплексное развитие речи и предметной деятельности, а также обучение адекватным жестам,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развитие артикуляционной моторики, речевого дыхания,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вызывание вокализации, стимуляция звукоподражания и речи,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развитие активного и пассивного словарного запаса,</w:t>
      </w:r>
    </w:p>
    <w:p w:rsidR="005158B8" w:rsidRPr="003445AA" w:rsidRDefault="005158B8" w:rsidP="00FD488B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474DE3" w:rsidRPr="003445AA" w:rsidRDefault="005158B8" w:rsidP="00FD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45AA">
        <w:rPr>
          <w:rFonts w:ascii="Times New Roman" w:hAnsi="Times New Roman" w:cs="Times New Roman"/>
          <w:sz w:val="28"/>
          <w:szCs w:val="28"/>
        </w:rPr>
        <w:t>В данном случае нельзя рассчитывать на быстрый результат, поэтому важно соблюдать последовательность и систематичность логопедических занятий. Каждое правильное выполнение задания поощряется теми средствами, которые привлекают ребенка (наклейка, любимая игрушка, книга, настольная игра).</w:t>
      </w:r>
      <w:bookmarkStart w:id="0" w:name="_GoBack"/>
      <w:bookmarkEnd w:id="0"/>
    </w:p>
    <w:sectPr w:rsidR="00474DE3" w:rsidRPr="0034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86"/>
    <w:multiLevelType w:val="hybridMultilevel"/>
    <w:tmpl w:val="C2500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0875"/>
    <w:multiLevelType w:val="hybridMultilevel"/>
    <w:tmpl w:val="B1B884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C0FF6"/>
    <w:multiLevelType w:val="hybridMultilevel"/>
    <w:tmpl w:val="3E3AC2B0"/>
    <w:lvl w:ilvl="0" w:tplc="4A0066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14582"/>
    <w:multiLevelType w:val="hybridMultilevel"/>
    <w:tmpl w:val="8E248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A5281"/>
    <w:multiLevelType w:val="hybridMultilevel"/>
    <w:tmpl w:val="93AC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68"/>
    <w:rsid w:val="001E3B2D"/>
    <w:rsid w:val="003445AA"/>
    <w:rsid w:val="00442B2C"/>
    <w:rsid w:val="00474DE3"/>
    <w:rsid w:val="005158B8"/>
    <w:rsid w:val="0057354C"/>
    <w:rsid w:val="00587962"/>
    <w:rsid w:val="00620F2C"/>
    <w:rsid w:val="006B508D"/>
    <w:rsid w:val="008E541A"/>
    <w:rsid w:val="00920802"/>
    <w:rsid w:val="00AB3495"/>
    <w:rsid w:val="00C31C08"/>
    <w:rsid w:val="00D34873"/>
    <w:rsid w:val="00DA3868"/>
    <w:rsid w:val="00DB6E61"/>
    <w:rsid w:val="00F67389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58B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58B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6702-DA14-4FFE-AFB5-9618F4C4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2021-04-21T12:45:00Z</dcterms:created>
  <dcterms:modified xsi:type="dcterms:W3CDTF">2021-04-21T14:57:00Z</dcterms:modified>
</cp:coreProperties>
</file>